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0D40BD" w14:textId="77777777" w:rsidR="00B73922" w:rsidRDefault="00B73922" w:rsidP="00C63146">
      <w:pPr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23D00EEE" w14:textId="7A942AFA" w:rsidR="00A2643F" w:rsidRPr="00A2643F" w:rsidRDefault="00A2643F" w:rsidP="00A2643F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A2643F">
        <w:rPr>
          <w:rFonts w:ascii="Sansa-Normal" w:eastAsia="Times New Roman" w:hAnsi="Sansa-Normal" w:cstheme="minorHAnsi"/>
          <w:iCs/>
          <w:sz w:val="24"/>
          <w:szCs w:val="24"/>
        </w:rPr>
        <w:t xml:space="preserve">Andrade, R. (2006). Hacia una gnoseología del desaprendizaje dialógico cognoconsciente: principios para desaprender en el contexto de la complejidad. México: Red Revista Electrónica de Investigación Educativa. </w:t>
      </w:r>
    </w:p>
    <w:p w14:paraId="57ED8592" w14:textId="2141C4DD" w:rsidR="00A2643F" w:rsidRPr="00A2643F" w:rsidRDefault="00A2643F" w:rsidP="00A2643F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A2643F">
        <w:rPr>
          <w:rFonts w:ascii="Sansa-Normal" w:eastAsia="Times New Roman" w:hAnsi="Sansa-Normal" w:cstheme="minorHAnsi"/>
          <w:iCs/>
          <w:sz w:val="24"/>
          <w:szCs w:val="24"/>
        </w:rPr>
        <w:t>Baena, P. G. M. E. (2014). Metodología de la investigación. México, D.F., MX: Larousse - Grupo Editorial Patria. Retrieved from http://www.ebrary.com</w:t>
      </w:r>
    </w:p>
    <w:p w14:paraId="3D4D5177" w14:textId="732A187D" w:rsidR="00A2643F" w:rsidRPr="00A2643F" w:rsidRDefault="00A2643F" w:rsidP="00A2643F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A2643F">
        <w:rPr>
          <w:rFonts w:ascii="Sansa-Normal" w:eastAsia="Times New Roman" w:hAnsi="Sansa-Normal" w:cstheme="minorHAnsi"/>
          <w:iCs/>
          <w:sz w:val="24"/>
          <w:szCs w:val="24"/>
        </w:rPr>
        <w:t xml:space="preserve">Benitez M.J. (2009). Epistemología   Benemérita Universidad Autónoma de Puebla. Facultad de Ciencias de la Comunicación. </w:t>
      </w:r>
    </w:p>
    <w:p w14:paraId="25DC50CE" w14:textId="30FA7B2E" w:rsidR="00A2643F" w:rsidRPr="00A2643F" w:rsidRDefault="00A2643F" w:rsidP="00A2643F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A2643F">
        <w:rPr>
          <w:rFonts w:ascii="Sansa-Normal" w:eastAsia="Times New Roman" w:hAnsi="Sansa-Normal" w:cstheme="minorHAnsi"/>
          <w:iCs/>
          <w:sz w:val="24"/>
          <w:szCs w:val="24"/>
        </w:rPr>
        <w:t xml:space="preserve">Campos, Y. C. G. (2010). Introducción al arte de la investigación científica. Distrito Federal, MX: Editorial Miguel Ángel Porrúa. </w:t>
      </w:r>
    </w:p>
    <w:p w14:paraId="02F9E4DC" w14:textId="145472A6" w:rsidR="00A2643F" w:rsidRPr="00A2643F" w:rsidRDefault="00A2643F" w:rsidP="00A2643F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A2643F">
        <w:rPr>
          <w:rFonts w:ascii="Sansa-Normal" w:eastAsia="Times New Roman" w:hAnsi="Sansa-Normal" w:cstheme="minorHAnsi"/>
          <w:iCs/>
          <w:sz w:val="24"/>
          <w:szCs w:val="24"/>
        </w:rPr>
        <w:t xml:space="preserve">Capurro, R. (2007). Epistemología y Ciencia de la Información. Venezuela: Red Enlace. </w:t>
      </w:r>
    </w:p>
    <w:p w14:paraId="30444D40" w14:textId="06BF031B" w:rsidR="00A2643F" w:rsidRPr="00A2643F" w:rsidRDefault="00A2643F" w:rsidP="00A2643F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A2643F">
        <w:rPr>
          <w:rFonts w:ascii="Sansa-Normal" w:eastAsia="Times New Roman" w:hAnsi="Sansa-Normal" w:cstheme="minorHAnsi"/>
          <w:iCs/>
          <w:sz w:val="24"/>
          <w:szCs w:val="24"/>
        </w:rPr>
        <w:t xml:space="preserve">Caracheo, Q. F. B. S. (2009). La Construcción de la Ciencia. Argentina: El Cid Editor | apuntes. </w:t>
      </w:r>
    </w:p>
    <w:p w14:paraId="09774890" w14:textId="68E6CA25" w:rsidR="00A2643F" w:rsidRPr="00A2643F" w:rsidRDefault="00A2643F" w:rsidP="00A2643F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A2643F">
        <w:rPr>
          <w:rFonts w:ascii="Sansa-Normal" w:eastAsia="Times New Roman" w:hAnsi="Sansa-Normal" w:cstheme="minorHAnsi"/>
          <w:iCs/>
          <w:sz w:val="24"/>
          <w:szCs w:val="24"/>
        </w:rPr>
        <w:t xml:space="preserve">Fernández, L. J. A. (2008). La teoría política materialista de Gustavo Bueno: gnoseología, estado y moral. España: Universidad Complutense de Madrid. </w:t>
      </w:r>
    </w:p>
    <w:p w14:paraId="42129FE9" w14:textId="78E5D524" w:rsidR="00A2643F" w:rsidRPr="00A2643F" w:rsidRDefault="00A2643F" w:rsidP="00A2643F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A2643F">
        <w:rPr>
          <w:rFonts w:ascii="Sansa-Normal" w:eastAsia="Times New Roman" w:hAnsi="Sansa-Normal" w:cstheme="minorHAnsi"/>
          <w:iCs/>
          <w:sz w:val="24"/>
          <w:szCs w:val="24"/>
        </w:rPr>
        <w:t>Hernández Sampieri, Roberto; et al. (2001) Metodología de la Investigación. 2ª. ed. McGraw-Hill. México, D.F.</w:t>
      </w:r>
    </w:p>
    <w:p w14:paraId="54654847" w14:textId="242EAEE8" w:rsidR="00A2643F" w:rsidRPr="00A2643F" w:rsidRDefault="00A2643F" w:rsidP="00A2643F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A2643F">
        <w:rPr>
          <w:rFonts w:ascii="Sansa-Normal" w:eastAsia="Times New Roman" w:hAnsi="Sansa-Normal" w:cstheme="minorHAnsi"/>
          <w:iCs/>
          <w:sz w:val="24"/>
          <w:szCs w:val="24"/>
        </w:rPr>
        <w:t xml:space="preserve">Gómez, M. M. Á., Deslauriers, J., &amp; Alzate, P. M. V. (2009). Cómo hacer una tesis de maestría y doctorado: investigación, escritura y publicación. Bogotá, CO: Ecoe Ediciones. </w:t>
      </w:r>
    </w:p>
    <w:p w14:paraId="31C09FD3" w14:textId="2DF8B241" w:rsidR="00A2643F" w:rsidRPr="00A2643F" w:rsidRDefault="00A2643F" w:rsidP="00A2643F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A2643F">
        <w:rPr>
          <w:rFonts w:ascii="Sansa-Normal" w:eastAsia="Times New Roman" w:hAnsi="Sansa-Normal" w:cstheme="minorHAnsi"/>
          <w:iCs/>
          <w:sz w:val="24"/>
          <w:szCs w:val="24"/>
        </w:rPr>
        <w:t xml:space="preserve">Guerrero, D. G. (2014). Metodología de la Investigación. México, D.F., MX: Larousse - Grupo Editorial Patria. </w:t>
      </w:r>
    </w:p>
    <w:p w14:paraId="7A5286F8" w14:textId="38DB3564" w:rsidR="00A2643F" w:rsidRPr="00A2643F" w:rsidRDefault="00A2643F" w:rsidP="00A2643F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A2643F">
        <w:rPr>
          <w:rFonts w:ascii="Sansa-Normal" w:eastAsia="Times New Roman" w:hAnsi="Sansa-Normal" w:cstheme="minorHAnsi"/>
          <w:iCs/>
          <w:sz w:val="24"/>
          <w:szCs w:val="24"/>
        </w:rPr>
        <w:t>Kerlinger, F.N., &amp; Lee, H.B. (2002). Investigación del Comportamiento: Métodos de Investigación en Ciencias Sociales (4ta. Ed.). México: McGraw Hill.</w:t>
      </w:r>
    </w:p>
    <w:p w14:paraId="5ED3DE1D" w14:textId="4C9C05A2" w:rsidR="00A2643F" w:rsidRPr="00A2643F" w:rsidRDefault="00A2643F" w:rsidP="00A2643F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A2643F">
        <w:rPr>
          <w:rFonts w:ascii="Sansa-Normal" w:eastAsia="Times New Roman" w:hAnsi="Sansa-Normal" w:cstheme="minorHAnsi"/>
          <w:iCs/>
          <w:sz w:val="24"/>
          <w:szCs w:val="24"/>
        </w:rPr>
        <w:t>León, O.G. y Montero, I. (2003). Métodos de Investigación en Psicología y Educación (3ª edición). McGraw-Hill: Madrid.</w:t>
      </w:r>
    </w:p>
    <w:p w14:paraId="00FCE065" w14:textId="77777777" w:rsidR="00A2643F" w:rsidRPr="00A2643F" w:rsidRDefault="00A2643F" w:rsidP="00A2643F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A2643F">
        <w:rPr>
          <w:rFonts w:ascii="Sansa-Normal" w:eastAsia="Times New Roman" w:hAnsi="Sansa-Normal" w:cstheme="minorHAnsi"/>
          <w:iCs/>
          <w:sz w:val="24"/>
          <w:szCs w:val="24"/>
        </w:rPr>
        <w:t>Márquez R.A. (2011). Acerca del marco teórico en las investigaciones: algunas consideraciones para su construcción. Recopilado en:</w:t>
      </w:r>
    </w:p>
    <w:p w14:paraId="00393EB7" w14:textId="77777777" w:rsidR="00A2643F" w:rsidRPr="00A2643F" w:rsidRDefault="00A2643F" w:rsidP="00A2643F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A2643F">
        <w:rPr>
          <w:rFonts w:ascii="Sansa-Normal" w:eastAsia="Times New Roman" w:hAnsi="Sansa-Normal" w:cstheme="minorHAnsi"/>
          <w:iCs/>
          <w:sz w:val="24"/>
          <w:szCs w:val="24"/>
        </w:rPr>
        <w:t>http://www.eumed.net/rev/cccss/11/amr.htm</w:t>
      </w:r>
    </w:p>
    <w:p w14:paraId="1C2E06AC" w14:textId="77777777" w:rsidR="00A2643F" w:rsidRPr="00A2643F" w:rsidRDefault="00A2643F" w:rsidP="00A2643F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46896DCF" w14:textId="1890FC8F" w:rsidR="00A2643F" w:rsidRPr="00A2643F" w:rsidRDefault="00A2643F" w:rsidP="00A2643F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A2643F">
        <w:rPr>
          <w:rFonts w:ascii="Sansa-Normal" w:eastAsia="Times New Roman" w:hAnsi="Sansa-Normal" w:cstheme="minorHAnsi"/>
          <w:iCs/>
          <w:sz w:val="24"/>
          <w:szCs w:val="24"/>
        </w:rPr>
        <w:t xml:space="preserve">Menna, S. H. (Ed.). (2008). Estudios Contemporáneos sobre Epistemología. Argentina: Jorge Sarmiento Editor - Universitas. </w:t>
      </w:r>
    </w:p>
    <w:p w14:paraId="28E7D8C1" w14:textId="0D35B239" w:rsidR="00A2643F" w:rsidRPr="00A2643F" w:rsidRDefault="00A2643F" w:rsidP="00A2643F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A2643F">
        <w:rPr>
          <w:rFonts w:ascii="Sansa-Normal" w:eastAsia="Times New Roman" w:hAnsi="Sansa-Normal" w:cstheme="minorHAnsi"/>
          <w:iCs/>
          <w:sz w:val="24"/>
          <w:szCs w:val="24"/>
        </w:rPr>
        <w:t xml:space="preserve">Muñoz, R. C. (2009). Cómo Elaborar y Asesorar una Investigación de Tesis. Córdoba, AR: El Cid Editor | apuntes. </w:t>
      </w:r>
    </w:p>
    <w:p w14:paraId="18BB7DC1" w14:textId="6002F7FE" w:rsidR="00A2643F" w:rsidRPr="00A2643F" w:rsidRDefault="00A2643F" w:rsidP="00A2643F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A2643F">
        <w:rPr>
          <w:rFonts w:ascii="Sansa-Normal" w:eastAsia="Times New Roman" w:hAnsi="Sansa-Normal" w:cstheme="minorHAnsi"/>
          <w:iCs/>
          <w:sz w:val="24"/>
          <w:szCs w:val="24"/>
        </w:rPr>
        <w:t xml:space="preserve">Patiño, M. E., &amp; Padilla, M. R. (2011). La construcción del objeto de estudio en el análisis cultural. Un ejercicio reflexivo para visibilizar y discutir los elementos del proceso. México, D.F., MX: Red Estudios sobre las Culturas Contemporáneas. </w:t>
      </w:r>
    </w:p>
    <w:p w14:paraId="3FADE24A" w14:textId="6CF0A975" w:rsidR="00A2643F" w:rsidRPr="00A2643F" w:rsidRDefault="00A2643F" w:rsidP="00A2643F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A2643F">
        <w:rPr>
          <w:rFonts w:ascii="Sansa-Normal" w:eastAsia="Times New Roman" w:hAnsi="Sansa-Normal" w:cstheme="minorHAnsi"/>
          <w:iCs/>
          <w:sz w:val="24"/>
          <w:szCs w:val="24"/>
        </w:rPr>
        <w:t>Ramos S. G. (2007). Actividad, Conocimiento y Ciencia. Cuba: Editorial Universitaria.</w:t>
      </w:r>
    </w:p>
    <w:p w14:paraId="7A9F521F" w14:textId="67A1D3B4" w:rsidR="00A2643F" w:rsidRPr="00A2643F" w:rsidRDefault="00A2643F" w:rsidP="00A2643F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A2643F">
        <w:rPr>
          <w:rFonts w:ascii="Sansa-Normal" w:eastAsia="Times New Roman" w:hAnsi="Sansa-Normal" w:cstheme="minorHAnsi"/>
          <w:iCs/>
          <w:sz w:val="24"/>
          <w:szCs w:val="24"/>
        </w:rPr>
        <w:t xml:space="preserve">Samiento J. (2000). Estudios Contemporáneos sobre Epistemología. Universitas. </w:t>
      </w:r>
    </w:p>
    <w:p w14:paraId="2339BEE5" w14:textId="4643974D" w:rsidR="00A2643F" w:rsidRPr="00A2643F" w:rsidRDefault="00A2643F" w:rsidP="00A2643F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A2643F">
        <w:rPr>
          <w:rFonts w:ascii="Sansa-Normal" w:eastAsia="Times New Roman" w:hAnsi="Sansa-Normal" w:cstheme="minorHAnsi"/>
          <w:iCs/>
          <w:sz w:val="24"/>
          <w:szCs w:val="24"/>
        </w:rPr>
        <w:t>Sautu, R, et all. (2010). Manual de metodología: construcción del marco teórico, formulación de los objetivos y elección de la metodología. Buenos Aires, AR: CLACSO.</w:t>
      </w:r>
    </w:p>
    <w:p w14:paraId="02E1E31D" w14:textId="2A1048EE" w:rsidR="00A2643F" w:rsidRPr="00A2643F" w:rsidRDefault="00A2643F" w:rsidP="00A2643F">
      <w:pPr>
        <w:jc w:val="both"/>
        <w:rPr>
          <w:rFonts w:ascii="Sansa-Normal" w:eastAsia="Times New Roman" w:hAnsi="Sansa-Normal" w:cstheme="minorHAnsi"/>
          <w:b/>
          <w:iCs/>
          <w:sz w:val="24"/>
          <w:szCs w:val="24"/>
        </w:rPr>
      </w:pPr>
      <w:r w:rsidRPr="00A2643F">
        <w:rPr>
          <w:rFonts w:ascii="Sansa-Normal" w:eastAsia="Times New Roman" w:hAnsi="Sansa-Normal" w:cstheme="minorHAnsi"/>
          <w:b/>
          <w:iCs/>
          <w:sz w:val="24"/>
          <w:szCs w:val="24"/>
        </w:rPr>
        <w:t>Páginas electrónicas:</w:t>
      </w:r>
    </w:p>
    <w:p w14:paraId="2ED2881B" w14:textId="77777777" w:rsidR="00A2643F" w:rsidRPr="00A2643F" w:rsidRDefault="00A2643F" w:rsidP="00A2643F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A2643F">
        <w:rPr>
          <w:rFonts w:ascii="Sansa-Normal" w:eastAsia="Times New Roman" w:hAnsi="Sansa-Normal" w:cstheme="minorHAnsi"/>
          <w:iCs/>
          <w:sz w:val="24"/>
          <w:szCs w:val="24"/>
        </w:rPr>
        <w:t xml:space="preserve">Khun T. (1971). La estructura de las revoluciones científicas. Fondo de Cultura Económica: México: Recuperado el 20 de marzo del 2016 en: </w:t>
      </w:r>
    </w:p>
    <w:p w14:paraId="1CC7D8CD" w14:textId="4DCA91C6" w:rsidR="00A2643F" w:rsidRPr="00A2643F" w:rsidRDefault="00A2643F" w:rsidP="00A2643F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A2643F">
        <w:rPr>
          <w:rFonts w:ascii="Sansa-Normal" w:eastAsia="Times New Roman" w:hAnsi="Sansa-Normal" w:cstheme="minorHAnsi"/>
          <w:iCs/>
          <w:sz w:val="24"/>
          <w:szCs w:val="24"/>
        </w:rPr>
        <w:t>http://www.conductitlan.net/libros_y_lecturas_basicas_gratuitos/t_s_kuhn_la_estructura_de_las_revoluciones_cientificas.pdf</w:t>
      </w:r>
    </w:p>
    <w:p w14:paraId="39D4E8BF" w14:textId="77777777" w:rsidR="00A2643F" w:rsidRPr="00A2643F" w:rsidRDefault="00A2643F" w:rsidP="00A2643F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A2643F">
        <w:rPr>
          <w:rFonts w:ascii="Sansa-Normal" w:eastAsia="Times New Roman" w:hAnsi="Sansa-Normal" w:cstheme="minorHAnsi"/>
          <w:iCs/>
          <w:sz w:val="24"/>
          <w:szCs w:val="24"/>
        </w:rPr>
        <w:t xml:space="preserve">Metodología de la Investigación de Manuel Galán </w:t>
      </w:r>
    </w:p>
    <w:p w14:paraId="4D2D66AB" w14:textId="6F47456C" w:rsidR="00A2643F" w:rsidRPr="00A2643F" w:rsidRDefault="00A2643F" w:rsidP="00A2643F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A2643F">
        <w:rPr>
          <w:rFonts w:ascii="Sansa-Normal" w:eastAsia="Times New Roman" w:hAnsi="Sansa-Normal" w:cstheme="minorHAnsi"/>
          <w:iCs/>
          <w:sz w:val="24"/>
          <w:szCs w:val="24"/>
        </w:rPr>
        <w:t>http://manuelgalan.blogspot.mx/2008/05/guia-metodologica-para-diseos-de.html</w:t>
      </w:r>
    </w:p>
    <w:p w14:paraId="61C89452" w14:textId="77777777" w:rsidR="00A2643F" w:rsidRPr="00A2643F" w:rsidRDefault="00A2643F" w:rsidP="00A2643F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A2643F">
        <w:rPr>
          <w:rFonts w:ascii="Sansa-Normal" w:eastAsia="Times New Roman" w:hAnsi="Sansa-Normal" w:cstheme="minorHAnsi"/>
          <w:iCs/>
          <w:sz w:val="24"/>
          <w:szCs w:val="24"/>
        </w:rPr>
        <w:t>Real Academia Española. (2016). Diccionario de la lengua española [Dictionary of the Spanish Language] (22nd ed.). Madrid, Spain: Author. Recuperado el 28 de abril del 2016 en: http://dle.rae.es/?id=RpXSRZJ</w:t>
      </w:r>
    </w:p>
    <w:p w14:paraId="66EF04B3" w14:textId="77777777" w:rsidR="00A2643F" w:rsidRPr="00A2643F" w:rsidRDefault="00A2643F" w:rsidP="00A2643F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A2643F">
        <w:rPr>
          <w:rFonts w:ascii="Sansa-Normal" w:eastAsia="Times New Roman" w:hAnsi="Sansa-Normal" w:cstheme="minorHAnsi"/>
          <w:iCs/>
          <w:sz w:val="24"/>
          <w:szCs w:val="24"/>
        </w:rPr>
        <w:t>Vázquez et al. (2001) Cuatro paradigmas sobre la naturaleza de la ciencia: Revista española de ciencia, tecnología y sociedad y filosofía de la tecnología.</w:t>
      </w:r>
    </w:p>
    <w:p w14:paraId="087AAD74" w14:textId="1E8D35D3" w:rsidR="007852CE" w:rsidRDefault="007852CE" w:rsidP="0052056B">
      <w:pPr>
        <w:rPr>
          <w:rFonts w:ascii="Dispatch-Black" w:hAnsi="Dispatch-Black" w:cstheme="minorHAnsi"/>
          <w:color w:val="3366FF"/>
          <w:sz w:val="28"/>
          <w:szCs w:val="28"/>
        </w:rPr>
      </w:pPr>
      <w:bookmarkStart w:id="0" w:name="_GoBack"/>
      <w:bookmarkEnd w:id="0"/>
    </w:p>
    <w:p w14:paraId="1571F399" w14:textId="77777777" w:rsidR="000E3AF1" w:rsidRDefault="000E3AF1" w:rsidP="0052056B">
      <w:pPr>
        <w:rPr>
          <w:rFonts w:ascii="Dispatch-Black" w:hAnsi="Dispatch-Black" w:cstheme="minorHAnsi"/>
          <w:color w:val="3366FF"/>
          <w:sz w:val="28"/>
          <w:szCs w:val="28"/>
        </w:rPr>
      </w:pPr>
    </w:p>
    <w:sectPr w:rsidR="000E3AF1" w:rsidSect="00A2643F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  <w:printerSettings r:id="rId1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054E82" w:rsidRDefault="00054E82" w:rsidP="000C56E4">
      <w:r>
        <w:separator/>
      </w:r>
    </w:p>
  </w:endnote>
  <w:endnote w:type="continuationSeparator" w:id="0">
    <w:p w14:paraId="03EE6BA2" w14:textId="77777777" w:rsidR="00054E82" w:rsidRDefault="00054E8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054E82" w:rsidRDefault="00054E82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55108138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054E82" w:rsidRDefault="00054E82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054E82" w:rsidRDefault="00054E82" w:rsidP="000C56E4">
      <w:r>
        <w:separator/>
      </w:r>
    </w:p>
  </w:footnote>
  <w:footnote w:type="continuationSeparator" w:id="0">
    <w:p w14:paraId="143CF59E" w14:textId="77777777" w:rsidR="00054E82" w:rsidRDefault="00054E8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56AB7D66" w:rsidR="00054E82" w:rsidRDefault="00054E8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124B8083">
              <wp:simplePos x="0" y="0"/>
              <wp:positionH relativeFrom="column">
                <wp:posOffset>-789940</wp:posOffset>
              </wp:positionH>
              <wp:positionV relativeFrom="paragraph">
                <wp:posOffset>-512445</wp:posOffset>
              </wp:positionV>
              <wp:extent cx="7876540" cy="965835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76540" cy="965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80615D" w14:textId="77777777" w:rsidR="00054E82" w:rsidRPr="00B73922" w:rsidRDefault="00054E82" w:rsidP="009F1157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</w:pPr>
                        </w:p>
                        <w:p w14:paraId="36D60A43" w14:textId="4BCC462B" w:rsidR="00054E82" w:rsidRPr="00B73922" w:rsidRDefault="00A2643F" w:rsidP="0052056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</w:pPr>
                          <w:r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>Referencias</w:t>
                          </w:r>
                        </w:p>
                        <w:p w14:paraId="15CBBCB2" w14:textId="77777777" w:rsidR="00054E82" w:rsidRDefault="00054E82" w:rsidP="0052056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</w:pPr>
                        </w:p>
                        <w:p w14:paraId="58152373" w14:textId="77777777" w:rsidR="00054E82" w:rsidRPr="00F561C6" w:rsidRDefault="00054E82" w:rsidP="0052056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</w:pPr>
                        </w:p>
                        <w:p w14:paraId="218269B6" w14:textId="77777777" w:rsidR="00054E82" w:rsidRPr="00FA2C5B" w:rsidRDefault="00054E82" w:rsidP="0052056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56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15pt;margin-top:-40.3pt;width:620.2pt;height:7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" filled="f" stroked="f">
              <v:textbox>
                <w:txbxContent>
                  <w:p w14:paraId="3F80615D" w14:textId="77777777" w:rsidR="00054E82" w:rsidRPr="00B73922" w:rsidRDefault="00054E82" w:rsidP="009F1157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</w:pPr>
                  </w:p>
                  <w:p w14:paraId="36D60A43" w14:textId="4BCC462B" w:rsidR="00054E82" w:rsidRPr="00B73922" w:rsidRDefault="00A2643F" w:rsidP="0052056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</w:pPr>
                    <w:r>
                      <w:rPr>
                        <w:rFonts w:ascii="Dispatch-Regular" w:hAnsi="Dispatch-Regular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>Referencias</w:t>
                    </w:r>
                  </w:p>
                  <w:p w14:paraId="15CBBCB2" w14:textId="77777777" w:rsidR="00054E82" w:rsidRDefault="00054E82" w:rsidP="0052056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</w:pPr>
                  </w:p>
                  <w:p w14:paraId="58152373" w14:textId="77777777" w:rsidR="00054E82" w:rsidRPr="00F561C6" w:rsidRDefault="00054E82" w:rsidP="0052056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</w:pPr>
                  </w:p>
                  <w:p w14:paraId="218269B6" w14:textId="77777777" w:rsidR="00054E82" w:rsidRPr="00FA2C5B" w:rsidRDefault="00054E82" w:rsidP="0052056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56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78EFB219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63670" cy="1195471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3670" cy="1195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A70A2A"/>
    <w:multiLevelType w:val="hybridMultilevel"/>
    <w:tmpl w:val="F3EC554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A32B38"/>
    <w:multiLevelType w:val="hybridMultilevel"/>
    <w:tmpl w:val="B438368E"/>
    <w:lvl w:ilvl="0" w:tplc="3A1CB9F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D6789"/>
    <w:multiLevelType w:val="hybridMultilevel"/>
    <w:tmpl w:val="761229A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D513FCC"/>
    <w:multiLevelType w:val="hybridMultilevel"/>
    <w:tmpl w:val="E2BE324A"/>
    <w:lvl w:ilvl="0" w:tplc="C0389B18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062732"/>
    <w:multiLevelType w:val="hybridMultilevel"/>
    <w:tmpl w:val="A1BE6B1A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BD3763"/>
    <w:multiLevelType w:val="hybridMultilevel"/>
    <w:tmpl w:val="792850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2B4289"/>
    <w:multiLevelType w:val="hybridMultilevel"/>
    <w:tmpl w:val="12768D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7"/>
  </w:num>
  <w:num w:numId="4">
    <w:abstractNumId w:val="14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9"/>
  </w:num>
  <w:num w:numId="10">
    <w:abstractNumId w:val="26"/>
  </w:num>
  <w:num w:numId="11">
    <w:abstractNumId w:val="21"/>
  </w:num>
  <w:num w:numId="12">
    <w:abstractNumId w:val="5"/>
  </w:num>
  <w:num w:numId="13">
    <w:abstractNumId w:val="27"/>
  </w:num>
  <w:num w:numId="14">
    <w:abstractNumId w:val="28"/>
  </w:num>
  <w:num w:numId="15">
    <w:abstractNumId w:val="1"/>
  </w:num>
  <w:num w:numId="16">
    <w:abstractNumId w:val="23"/>
  </w:num>
  <w:num w:numId="17">
    <w:abstractNumId w:val="24"/>
  </w:num>
  <w:num w:numId="18">
    <w:abstractNumId w:val="29"/>
  </w:num>
  <w:num w:numId="19">
    <w:abstractNumId w:val="11"/>
  </w:num>
  <w:num w:numId="20">
    <w:abstractNumId w:val="9"/>
  </w:num>
  <w:num w:numId="21">
    <w:abstractNumId w:val="2"/>
  </w:num>
  <w:num w:numId="22">
    <w:abstractNumId w:val="0"/>
  </w:num>
  <w:num w:numId="23">
    <w:abstractNumId w:val="16"/>
  </w:num>
  <w:num w:numId="24">
    <w:abstractNumId w:val="8"/>
  </w:num>
  <w:num w:numId="25">
    <w:abstractNumId w:val="22"/>
  </w:num>
  <w:num w:numId="26">
    <w:abstractNumId w:val="18"/>
  </w:num>
  <w:num w:numId="27">
    <w:abstractNumId w:val="3"/>
  </w:num>
  <w:num w:numId="28">
    <w:abstractNumId w:val="12"/>
  </w:num>
  <w:num w:numId="29">
    <w:abstractNumId w:val="10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5F0E"/>
    <w:rsid w:val="00006EAE"/>
    <w:rsid w:val="0003791D"/>
    <w:rsid w:val="0004485E"/>
    <w:rsid w:val="00052C7F"/>
    <w:rsid w:val="00054E82"/>
    <w:rsid w:val="0006642A"/>
    <w:rsid w:val="000C56E4"/>
    <w:rsid w:val="000E2D54"/>
    <w:rsid w:val="000E3AF1"/>
    <w:rsid w:val="00114A5D"/>
    <w:rsid w:val="001408BB"/>
    <w:rsid w:val="00170F38"/>
    <w:rsid w:val="00175BD2"/>
    <w:rsid w:val="0018094E"/>
    <w:rsid w:val="001A3CC6"/>
    <w:rsid w:val="00214F9E"/>
    <w:rsid w:val="002452F5"/>
    <w:rsid w:val="00264981"/>
    <w:rsid w:val="002C5D7E"/>
    <w:rsid w:val="002D71CD"/>
    <w:rsid w:val="002E34DD"/>
    <w:rsid w:val="002E3CFD"/>
    <w:rsid w:val="002E6147"/>
    <w:rsid w:val="002F433B"/>
    <w:rsid w:val="00305F1F"/>
    <w:rsid w:val="003064B8"/>
    <w:rsid w:val="003174AE"/>
    <w:rsid w:val="00322AFF"/>
    <w:rsid w:val="00343EB9"/>
    <w:rsid w:val="0039235F"/>
    <w:rsid w:val="003C10FB"/>
    <w:rsid w:val="003D431C"/>
    <w:rsid w:val="003D510C"/>
    <w:rsid w:val="003E53E7"/>
    <w:rsid w:val="00416ABB"/>
    <w:rsid w:val="00475446"/>
    <w:rsid w:val="004918B3"/>
    <w:rsid w:val="004F555F"/>
    <w:rsid w:val="0052056B"/>
    <w:rsid w:val="005639CC"/>
    <w:rsid w:val="005A1539"/>
    <w:rsid w:val="005B630C"/>
    <w:rsid w:val="005C770C"/>
    <w:rsid w:val="005D53CF"/>
    <w:rsid w:val="005F42A2"/>
    <w:rsid w:val="00617C2D"/>
    <w:rsid w:val="00625AF7"/>
    <w:rsid w:val="0065609F"/>
    <w:rsid w:val="00663B8D"/>
    <w:rsid w:val="0068742F"/>
    <w:rsid w:val="00695EFB"/>
    <w:rsid w:val="00696502"/>
    <w:rsid w:val="00696D11"/>
    <w:rsid w:val="006B2A8F"/>
    <w:rsid w:val="006B6636"/>
    <w:rsid w:val="00701E06"/>
    <w:rsid w:val="00703456"/>
    <w:rsid w:val="007174A4"/>
    <w:rsid w:val="00780D6B"/>
    <w:rsid w:val="007852CE"/>
    <w:rsid w:val="00794373"/>
    <w:rsid w:val="007A02A5"/>
    <w:rsid w:val="007B0549"/>
    <w:rsid w:val="007C352A"/>
    <w:rsid w:val="007E15BB"/>
    <w:rsid w:val="0084096C"/>
    <w:rsid w:val="00851A71"/>
    <w:rsid w:val="00884708"/>
    <w:rsid w:val="008B4187"/>
    <w:rsid w:val="00927DB0"/>
    <w:rsid w:val="00954389"/>
    <w:rsid w:val="009678FA"/>
    <w:rsid w:val="009A3FDE"/>
    <w:rsid w:val="009C2D6F"/>
    <w:rsid w:val="009F1157"/>
    <w:rsid w:val="00A2643F"/>
    <w:rsid w:val="00A73CB4"/>
    <w:rsid w:val="00AC1CD5"/>
    <w:rsid w:val="00AF22D2"/>
    <w:rsid w:val="00AF4C80"/>
    <w:rsid w:val="00B33BD3"/>
    <w:rsid w:val="00B416C4"/>
    <w:rsid w:val="00B46003"/>
    <w:rsid w:val="00B73922"/>
    <w:rsid w:val="00B751BB"/>
    <w:rsid w:val="00BB7525"/>
    <w:rsid w:val="00BD2484"/>
    <w:rsid w:val="00BF2A7F"/>
    <w:rsid w:val="00C03339"/>
    <w:rsid w:val="00C36C08"/>
    <w:rsid w:val="00C5401B"/>
    <w:rsid w:val="00C55B85"/>
    <w:rsid w:val="00C6224F"/>
    <w:rsid w:val="00C63146"/>
    <w:rsid w:val="00C8224D"/>
    <w:rsid w:val="00CA200B"/>
    <w:rsid w:val="00CC6A64"/>
    <w:rsid w:val="00CE04E5"/>
    <w:rsid w:val="00CF39A8"/>
    <w:rsid w:val="00D5536C"/>
    <w:rsid w:val="00D6286B"/>
    <w:rsid w:val="00D70C51"/>
    <w:rsid w:val="00D856E8"/>
    <w:rsid w:val="00DB30AC"/>
    <w:rsid w:val="00DB35CC"/>
    <w:rsid w:val="00DC182C"/>
    <w:rsid w:val="00DD6A61"/>
    <w:rsid w:val="00DE08F5"/>
    <w:rsid w:val="00DE64AE"/>
    <w:rsid w:val="00DF2293"/>
    <w:rsid w:val="00E06C8E"/>
    <w:rsid w:val="00E342E9"/>
    <w:rsid w:val="00E44C17"/>
    <w:rsid w:val="00E60597"/>
    <w:rsid w:val="00E67127"/>
    <w:rsid w:val="00E974DE"/>
    <w:rsid w:val="00EA3784"/>
    <w:rsid w:val="00EB4AED"/>
    <w:rsid w:val="00EB7E40"/>
    <w:rsid w:val="00EE065F"/>
    <w:rsid w:val="00F315E4"/>
    <w:rsid w:val="00F36010"/>
    <w:rsid w:val="00F561C6"/>
    <w:rsid w:val="00F8525E"/>
    <w:rsid w:val="00FA2C5B"/>
    <w:rsid w:val="00FA36F9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Cuadrculaclara-nfasis1">
    <w:name w:val="Light Grid Accent 1"/>
    <w:basedOn w:val="Tablanormal"/>
    <w:uiPriority w:val="62"/>
    <w:rsid w:val="007852C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claro">
    <w:name w:val="Light Shading"/>
    <w:basedOn w:val="Tablanormal"/>
    <w:uiPriority w:val="60"/>
    <w:rsid w:val="00005F0E"/>
    <w:rPr>
      <w:rFonts w:eastAsiaTheme="minorHAnsi"/>
      <w:color w:val="000000" w:themeColor="text1" w:themeShade="BF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-nfasis1">
    <w:name w:val="Light List Accent 1"/>
    <w:basedOn w:val="Tablanormal"/>
    <w:uiPriority w:val="61"/>
    <w:rsid w:val="00AF4C8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A73CB4"/>
    <w:rPr>
      <w:rFonts w:ascii="Calibri" w:eastAsia="Calibri" w:hAnsi="Calibri" w:cs="Times New Roman"/>
      <w:sz w:val="22"/>
      <w:szCs w:val="22"/>
      <w:lang w:val="en-US" w:eastAsia="es-MX" w:bidi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Cuadrculaclara-nfasis1">
    <w:name w:val="Light Grid Accent 1"/>
    <w:basedOn w:val="Tablanormal"/>
    <w:uiPriority w:val="62"/>
    <w:rsid w:val="007852C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claro">
    <w:name w:val="Light Shading"/>
    <w:basedOn w:val="Tablanormal"/>
    <w:uiPriority w:val="60"/>
    <w:rsid w:val="00005F0E"/>
    <w:rPr>
      <w:rFonts w:eastAsiaTheme="minorHAnsi"/>
      <w:color w:val="000000" w:themeColor="text1" w:themeShade="BF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-nfasis1">
    <w:name w:val="Light List Accent 1"/>
    <w:basedOn w:val="Tablanormal"/>
    <w:uiPriority w:val="61"/>
    <w:rsid w:val="00AF4C8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A73CB4"/>
    <w:rPr>
      <w:rFonts w:ascii="Calibri" w:eastAsia="Calibri" w:hAnsi="Calibri" w:cs="Times New Roman"/>
      <w:sz w:val="22"/>
      <w:szCs w:val="22"/>
      <w:lang w:val="en-US" w:eastAsia="es-MX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printerSettings" Target="printerSettings/printerSettings1.bin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491E02E-9C11-E346-895D-3BA4B731B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520</Words>
  <Characters>2862</Characters>
  <Application>Microsoft Macintosh Word</Application>
  <DocSecurity>0</DocSecurity>
  <Lines>23</Lines>
  <Paragraphs>6</Paragraphs>
  <ScaleCrop>false</ScaleCrop>
  <Company/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3</cp:revision>
  <cp:lastPrinted>2017-12-19T17:08:00Z</cp:lastPrinted>
  <dcterms:created xsi:type="dcterms:W3CDTF">2017-12-19T17:08:00Z</dcterms:created>
  <dcterms:modified xsi:type="dcterms:W3CDTF">2017-12-19T17:08:00Z</dcterms:modified>
</cp:coreProperties>
</file>