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609943E" w:rsidR="00FA36F9" w:rsidRDefault="00FA36F9" w:rsidP="00395C86">
      <w:pPr>
        <w:jc w:val="both"/>
        <w:rPr>
          <w:rFonts w:ascii="Dispatch-Black" w:hAnsi="Dispatch-Black" w:cstheme="minorHAnsi"/>
          <w:color w:val="3366FF"/>
          <w:sz w:val="28"/>
          <w:szCs w:val="28"/>
        </w:rPr>
      </w:pPr>
    </w:p>
    <w:p w14:paraId="1DED619D" w14:textId="21772E53"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Entorno ecológico</w:t>
      </w:r>
    </w:p>
    <w:p w14:paraId="77F4C1F9" w14:textId="7438EB88"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En su toma de decisiones, los administradores deben considerar los factores ecológicos. Por ecología nos referimos a la relación entre personas y otros seres vivos con su ambiente, la tierra, el agua y el aire, cuya contaminación preocupa significativamente a todas las personas. La tierra puede contaminarse con desperdicios industriales como empaques; el agua con residuos peligrosos y aguas negras, y el aire con una variedad de fuentes como la lluvia ácida, los gases expedidos por vehículos y los carcinógenos expulsados por los procesos de manufactura.</w:t>
      </w:r>
    </w:p>
    <w:p w14:paraId="53B6AC6C" w14:textId="46B0C840"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En todo el mundo se han aprobado varias leyes sobre desperdicios sólidos y contaminación del agua y aire; los gerentes deben estar muy atentos a ellas y a sus reglamentos e incorporar los asuntos ecológicos en su toma de decisiones.</w:t>
      </w:r>
    </w:p>
    <w:p w14:paraId="2ED9A165" w14:textId="06FF253B"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Los países europeos desarrollaron las normas ISO 14001 para proteger al ambiente y garantizar que las políticas de las compañías atendieran a una variedad de preocupaciones públicas, incluidas la prevención de la contaminación y el cumplimiento de las leyes y reglamentos aplicables.</w:t>
      </w:r>
    </w:p>
    <w:p w14:paraId="2E6A93D9" w14:textId="05440415"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Desde la adopción del ISO 14001 en 1996, cerca de 10,000 compañías se habían registrado hasta el año 2000 y aun cuando las normas tuvieron un arranque lento en Estados Unidos, recibieron un fuerte impulso cuando Ford Motor Company certificó todas sus instalaciones del mundo conforme la norma, y otras compañías como General Motors, IBM y Xerox siguieron su ejemplo; la norma fue valiosa para Ford pues redujo el consumo de agua y facilitó el manejo de residuos de pintura y materiales de empaque desechables.</w:t>
      </w:r>
    </w:p>
    <w:p w14:paraId="027138AE" w14:textId="1D0271E6"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Más recientemente, las preocupaciones ecológicas se han enfocado en el cambio climático y el calentamiento global, el último de los cuales se refiere al aumento en la temperatura atmosférica de la Tierra y sus océanos, ocasionado por el exceso de dióxido de carbono producido por algunas actividades humanas. El aumento en la temperatura puede elevar los niveles de los océanos y crear climas extremos. Por ello, hoy los gerentes deben considerar cómo sus productos y procesos de producción afectan el clima de la Tierra a largo plazo y buscar formas de minimizar cualquier consecuencia negativa de las actividades de sus empresas.</w:t>
      </w:r>
    </w:p>
    <w:p w14:paraId="4C981A0A" w14:textId="77777777" w:rsidR="00395C86" w:rsidRPr="00395C86" w:rsidRDefault="00395C86" w:rsidP="00395C86">
      <w:pPr>
        <w:jc w:val="right"/>
        <w:rPr>
          <w:rFonts w:ascii="Sansa-Normal" w:eastAsia="Times New Roman" w:hAnsi="Sansa-Normal" w:cstheme="minorHAnsi"/>
          <w:iCs/>
          <w:sz w:val="16"/>
          <w:szCs w:val="16"/>
        </w:rPr>
      </w:pPr>
      <w:r w:rsidRPr="00395C86">
        <w:rPr>
          <w:rFonts w:ascii="Sansa-Normal" w:eastAsia="Times New Roman" w:hAnsi="Sansa-Normal" w:cstheme="minorHAnsi"/>
          <w:iCs/>
          <w:sz w:val="16"/>
          <w:szCs w:val="16"/>
        </w:rPr>
        <w:t>Referencia:</w:t>
      </w:r>
    </w:p>
    <w:p w14:paraId="022BDFA2" w14:textId="77777777" w:rsidR="00395C86" w:rsidRPr="00395C86" w:rsidRDefault="00395C86" w:rsidP="00395C86">
      <w:pPr>
        <w:jc w:val="right"/>
        <w:rPr>
          <w:rFonts w:ascii="Sansa-Normal" w:eastAsia="Times New Roman" w:hAnsi="Sansa-Normal" w:cstheme="minorHAnsi"/>
          <w:iCs/>
          <w:sz w:val="16"/>
          <w:szCs w:val="16"/>
        </w:rPr>
      </w:pPr>
      <w:r w:rsidRPr="00395C86">
        <w:rPr>
          <w:rFonts w:ascii="Sansa-Normal" w:eastAsia="Times New Roman" w:hAnsi="Sansa-Normal" w:cstheme="minorHAnsi"/>
          <w:iCs/>
          <w:sz w:val="16"/>
          <w:szCs w:val="16"/>
        </w:rPr>
        <w:t>Koontz, Harold y Weihrich, Heinz. (1998). Administración. Una Perspectiva Global. 14va. Edición. Editorial McGraw-Hill.</w:t>
      </w:r>
    </w:p>
    <w:p w14:paraId="682F06D7" w14:textId="77777777" w:rsidR="00395C86" w:rsidRPr="00395C86" w:rsidRDefault="00395C86" w:rsidP="00395C86">
      <w:pPr>
        <w:jc w:val="both"/>
        <w:rPr>
          <w:rFonts w:ascii="Sansa-Normal" w:eastAsia="Times New Roman" w:hAnsi="Sansa-Normal" w:cstheme="minorHAnsi"/>
          <w:iCs/>
          <w:sz w:val="24"/>
          <w:szCs w:val="24"/>
        </w:rPr>
      </w:pPr>
    </w:p>
    <w:p w14:paraId="2E5B16F2" w14:textId="01D85542"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En la década de 1970, se habló por primera vez sobre la celebración del Día de la Tierra. En esa época los directivos de las empresas escucharon a los ambientalistas y solo suspiraron diciendo que era simplemente un grupo de extremistas. Hoy día, el concepto de ecología se ha convertido en tema apremiante de muchos administradores y líderes empresariales; y para otros tantos, en un gran “negocio verde”.</w:t>
      </w:r>
    </w:p>
    <w:p w14:paraId="1861AF4B" w14:textId="6006D9D6"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Las empresas multinacionales, así como las PYMES, a partir de la discusión sobre el cambio climático, han llegado a conclusiones definitivas en cuanto a impactos económicos, sociales y culturales, mismos que han gestado los fenómenos ambientales. Ante un escenario tan evidente, la solución es clara: hay que cambiar las prácticas internas. Esta reflexión ya la llevaron a la práctica empresas como General Electric, Nike y Wal-Mart, quienes han evolucionado desde su interior, modificando su ADN, para convertirse en las nuevas promesas de los negocios “verdes”. Otras, como Clorox, se han visto obligadas a cambiar por las nuevas reglamentaciones ambientales o incluso por críticas muy severas de sus procesos internos. Muchas empresas han generado a través de años de investigación buenos resultados para satisfacer la demanda de bienes y servicios sustentables, pero hay otras que solo se conforman con cambiar sus empaques. En vista de que el entorno ecológico se ha autodefinido como el “retorno hacia la vida”, debemos centrar nuestra atención en la sustentabilidad ambiental. </w:t>
      </w:r>
    </w:p>
    <w:p w14:paraId="768E91F5" w14:textId="77777777" w:rsid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Es muy importante crear conciencia de la situación que estamos viviendo a nivel mundial; y que realmente el entorno ecológico de una sociedad y de las empresas se convierta en un marco de referencia para cada una de los movimientos que haga cada organización. Hoy día, la Tierra se está deteriorando por causas directas o indirectas del hombre, o por la mezcla de la misma naturaleza y obra del hombre. Japón, un país que para muchas economías representa un icono de tecnología e industrialización de primer mundo, está luchando a brazo partido para no caer en una desgracia nuclear por causa del sismo y del tsunami, fuerzas naturales que han roto todas las medidas de seguridad de sus laboratorios y fábricas de energía nuclear, que si explotan en cadena terminarían con una zona geográfica y dejarían en la atmósfera una gran nube de radiación para otros continentes. Esto demuestra que el desarrollo tecnológico de cualquier país conlleva un alto grado de responsabilidad.</w:t>
      </w:r>
    </w:p>
    <w:p w14:paraId="01DFD770" w14:textId="77777777" w:rsidR="00395C86" w:rsidRDefault="00395C86" w:rsidP="00395C86">
      <w:pPr>
        <w:jc w:val="both"/>
        <w:rPr>
          <w:rFonts w:ascii="Sansa-Normal" w:eastAsia="Times New Roman" w:hAnsi="Sansa-Normal" w:cstheme="minorHAnsi"/>
          <w:iCs/>
          <w:sz w:val="24"/>
          <w:szCs w:val="24"/>
        </w:rPr>
      </w:pPr>
    </w:p>
    <w:p w14:paraId="03589E5C" w14:textId="77777777" w:rsidR="00395C86" w:rsidRPr="00395C86" w:rsidRDefault="00395C86" w:rsidP="00395C86">
      <w:pPr>
        <w:jc w:val="both"/>
        <w:rPr>
          <w:rFonts w:ascii="Sansa-Normal" w:eastAsia="Times New Roman" w:hAnsi="Sansa-Normal" w:cstheme="minorHAnsi"/>
          <w:iCs/>
          <w:sz w:val="24"/>
          <w:szCs w:val="24"/>
        </w:rPr>
      </w:pPr>
    </w:p>
    <w:p w14:paraId="5682494E" w14:textId="77777777" w:rsidR="00395C86" w:rsidRPr="00395C86" w:rsidRDefault="00395C86" w:rsidP="00395C86">
      <w:pPr>
        <w:jc w:val="both"/>
        <w:rPr>
          <w:rFonts w:ascii="Sansa-Normal" w:eastAsia="Times New Roman" w:hAnsi="Sansa-Normal" w:cstheme="minorHAnsi"/>
          <w:iCs/>
          <w:sz w:val="24"/>
          <w:szCs w:val="24"/>
        </w:rPr>
      </w:pPr>
    </w:p>
    <w:p w14:paraId="2DFCDCBE" w14:textId="79BFEB83"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Como el de Japón se manejan a diario otros ejemplos, aunque en menor escala pero con impactos similares, más silenciosos y con alto grado de peligrosidad para un gran número de habitantes en las urbes tanto rurales como citadinas. Por eso cada comunidad ha creado leyes, acuerdos, convenios y normas que permiten medir y supervisar las acciones de las empresas y gobiernos en relación con el entorno ecológico. En nuestro país, la Secretaría de Medio Ambiente y Recursos Naturales (SEMARNAT), ha creado todo un mundo que permite estudiar y desarrollar estrategias para el cuidado de los recursos no renovables, así como una estructura jurídica para hacer cumplir estas demandas sociales. </w:t>
      </w:r>
    </w:p>
    <w:p w14:paraId="0413415D" w14:textId="1503F087" w:rsid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(Véase </w:t>
      </w:r>
      <w:hyperlink r:id="rId9" w:history="1">
        <w:r w:rsidRPr="00950D5C">
          <w:rPr>
            <w:rStyle w:val="Hipervnculo"/>
            <w:rFonts w:ascii="Sansa-Normal" w:eastAsia="Times New Roman" w:hAnsi="Sansa-Normal" w:cstheme="minorHAnsi"/>
            <w:iCs/>
            <w:sz w:val="24"/>
            <w:szCs w:val="24"/>
          </w:rPr>
          <w:t>http://www.semarnat.gob.mx/Pages/Inicio.aspx</w:t>
        </w:r>
      </w:hyperlink>
      <w:r w:rsidRPr="00395C86">
        <w:rPr>
          <w:rFonts w:ascii="Sansa-Normal" w:eastAsia="Times New Roman" w:hAnsi="Sansa-Normal" w:cstheme="minorHAnsi"/>
          <w:iCs/>
          <w:sz w:val="24"/>
          <w:szCs w:val="24"/>
        </w:rPr>
        <w:t>)</w:t>
      </w:r>
    </w:p>
    <w:p w14:paraId="6CAF2F52" w14:textId="77777777" w:rsidR="00395C86" w:rsidRPr="00395C86" w:rsidRDefault="00395C86" w:rsidP="00395C86">
      <w:pPr>
        <w:jc w:val="both"/>
        <w:rPr>
          <w:rFonts w:ascii="Sansa-Normal" w:eastAsia="Times New Roman" w:hAnsi="Sansa-Normal" w:cstheme="minorHAnsi"/>
          <w:iCs/>
          <w:sz w:val="24"/>
          <w:szCs w:val="24"/>
        </w:rPr>
      </w:pPr>
    </w:p>
    <w:p w14:paraId="71BF4055"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Entorno natural y social en la satisfacción de necesidades humanas</w:t>
      </w:r>
    </w:p>
    <w:p w14:paraId="06B2E273" w14:textId="532F25DC"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Ciencia, Tecnología y aprovechamiento racional de los recursos que ofrece el medio. Los seres humanos satisfacemos nuestras necesidades de sobrevivencia, protección y desarrollo en un determinado entorno natural y social.  </w:t>
      </w:r>
    </w:p>
    <w:p w14:paraId="5719FBA8" w14:textId="52CC5950"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El ambiente natural está formado por agua, aire, clima, etc. Todos estos son el hábitat del ser humano, el entorno que nos brinda alimento, calor o abrigo. Los humanos creamos un entorno social mediante redes sociales de relaciones entre las personas y la cultura. El entorno natural no se puede aislar del social, pues ambos se influyen recíprocamente: la vida humana existe gracias al entorno natural y este determina algunos rasgos de la cultura de cada pueblo. A su vez el ser humano modifica al medio ambiente para hacerlo más adecuado a sus necesidades. </w:t>
      </w:r>
    </w:p>
    <w:p w14:paraId="1AD83A25"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Los recursos naturales se han explotado de manera inmoderada, lo que ha alterado el equilibrio ambiental y ha puesto en riesgo la existencia de algunas especies. Esto nos exige asumir un compromiso ético:  </w:t>
      </w:r>
    </w:p>
    <w:p w14:paraId="743B564F" w14:textId="77777777" w:rsidR="00395C86" w:rsidRDefault="00395C86" w:rsidP="00395C86">
      <w:pPr>
        <w:jc w:val="both"/>
        <w:rPr>
          <w:rFonts w:ascii="Sansa-Normal" w:eastAsia="Times New Roman" w:hAnsi="Sansa-Normal" w:cstheme="minorHAnsi"/>
          <w:iCs/>
          <w:sz w:val="24"/>
          <w:szCs w:val="24"/>
        </w:rPr>
      </w:pPr>
    </w:p>
    <w:p w14:paraId="048B3D97" w14:textId="77777777" w:rsidR="00395C86" w:rsidRDefault="00395C86" w:rsidP="00395C86">
      <w:pPr>
        <w:jc w:val="both"/>
        <w:rPr>
          <w:rFonts w:ascii="Sansa-Normal" w:eastAsia="Times New Roman" w:hAnsi="Sansa-Normal" w:cstheme="minorHAnsi"/>
          <w:iCs/>
          <w:sz w:val="24"/>
          <w:szCs w:val="24"/>
        </w:rPr>
      </w:pPr>
    </w:p>
    <w:p w14:paraId="6CC67011" w14:textId="77777777" w:rsidR="00395C86" w:rsidRDefault="00395C86" w:rsidP="00395C86">
      <w:pPr>
        <w:jc w:val="both"/>
        <w:rPr>
          <w:rFonts w:ascii="Sansa-Normal" w:eastAsia="Times New Roman" w:hAnsi="Sansa-Normal" w:cstheme="minorHAnsi"/>
          <w:iCs/>
          <w:sz w:val="24"/>
          <w:szCs w:val="24"/>
        </w:rPr>
      </w:pPr>
    </w:p>
    <w:p w14:paraId="13C62E72" w14:textId="77777777" w:rsidR="00395C86" w:rsidRDefault="00395C86" w:rsidP="00395C86">
      <w:pPr>
        <w:jc w:val="both"/>
        <w:rPr>
          <w:rFonts w:ascii="Sansa-Normal" w:eastAsia="Times New Roman" w:hAnsi="Sansa-Normal" w:cstheme="minorHAnsi"/>
          <w:iCs/>
          <w:sz w:val="24"/>
          <w:szCs w:val="24"/>
        </w:rPr>
      </w:pPr>
    </w:p>
    <w:p w14:paraId="34F07F0A" w14:textId="77777777" w:rsidR="00395C86" w:rsidRPr="00395C86" w:rsidRDefault="00395C86" w:rsidP="00395C86">
      <w:pPr>
        <w:jc w:val="both"/>
        <w:rPr>
          <w:rFonts w:ascii="Sansa-Normal" w:eastAsia="Times New Roman" w:hAnsi="Sansa-Normal" w:cstheme="minorHAnsi"/>
          <w:iCs/>
          <w:sz w:val="24"/>
          <w:szCs w:val="24"/>
        </w:rPr>
      </w:pPr>
    </w:p>
    <w:p w14:paraId="236B0FBC"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w:t>
      </w:r>
      <w:r w:rsidRPr="00395C86">
        <w:rPr>
          <w:rFonts w:ascii="Sansa-Normal" w:eastAsia="Times New Roman" w:hAnsi="Sansa-Normal" w:cstheme="minorHAnsi"/>
          <w:iCs/>
          <w:sz w:val="24"/>
          <w:szCs w:val="24"/>
        </w:rPr>
        <w:tab/>
        <w:t xml:space="preserve">Evitar que se destruya el hábitat por decisiones irresponsables, por descuidos. </w:t>
      </w:r>
    </w:p>
    <w:p w14:paraId="5D475CA9"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w:t>
      </w:r>
      <w:r w:rsidRPr="00395C86">
        <w:rPr>
          <w:rFonts w:ascii="Sansa-Normal" w:eastAsia="Times New Roman" w:hAnsi="Sansa-Normal" w:cstheme="minorHAnsi"/>
          <w:iCs/>
          <w:sz w:val="24"/>
          <w:szCs w:val="24"/>
        </w:rPr>
        <w:tab/>
        <w:t xml:space="preserve">Usar los recursos naturales de una manera racional, sin dejar de satisfacer las necesidades ni evitar el desarrollo. </w:t>
      </w:r>
    </w:p>
    <w:p w14:paraId="15C7E43C" w14:textId="0946823F"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w:t>
      </w:r>
      <w:r w:rsidRPr="00395C86">
        <w:rPr>
          <w:rFonts w:ascii="Sansa-Normal" w:eastAsia="Times New Roman" w:hAnsi="Sansa-Normal" w:cstheme="minorHAnsi"/>
          <w:iCs/>
          <w:sz w:val="24"/>
          <w:szCs w:val="24"/>
        </w:rPr>
        <w:tab/>
        <w:t>Evitar la contaminación y la extinción de especies y usar de manera adecuada los residuos industriales y el agua.</w:t>
      </w:r>
    </w:p>
    <w:p w14:paraId="308B990E"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Recursos naturales como bien común</w:t>
      </w:r>
    </w:p>
    <w:p w14:paraId="7A9C11F7" w14:textId="70FF55AB"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Desarrollo humano y equidad. Los recursos naturales son patrimonio de la humanidad. Cada país tiene derechos sobre los recursos naturales que se encuentran en su territorio y tiene la obligación moral de conservarlos y hacer uso racional de ellos. En las últimas décadas hemos sobreexplotado la selva amazónica al grado de que se ha perdido 15% de la misma. Esto ha generado una preocupación mundial. Por eso el gobierno de Brasil en coordinación con especialistas y organizaciones realiza proyectos para detener este desastre. </w:t>
      </w:r>
    </w:p>
    <w:p w14:paraId="506A3B92"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Los recursos naturales son indispensables para el bienestar común por dos razones: </w:t>
      </w:r>
    </w:p>
    <w:p w14:paraId="167C4036"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1.</w:t>
      </w:r>
      <w:r w:rsidRPr="00395C86">
        <w:rPr>
          <w:rFonts w:ascii="Sansa-Normal" w:eastAsia="Times New Roman" w:hAnsi="Sansa-Normal" w:cstheme="minorHAnsi"/>
          <w:iCs/>
          <w:sz w:val="24"/>
          <w:szCs w:val="24"/>
        </w:rPr>
        <w:tab/>
        <w:t>Por la correcta explotación en el equilibrio ambiental y también porque son una fuente de riqueza.</w:t>
      </w:r>
    </w:p>
    <w:p w14:paraId="2A12CEF4" w14:textId="0E867676"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2.</w:t>
      </w:r>
      <w:r w:rsidRPr="00395C86">
        <w:rPr>
          <w:rFonts w:ascii="Sansa-Normal" w:eastAsia="Times New Roman" w:hAnsi="Sansa-Normal" w:cstheme="minorHAnsi"/>
          <w:iCs/>
          <w:sz w:val="24"/>
          <w:szCs w:val="24"/>
        </w:rPr>
        <w:tab/>
        <w:t xml:space="preserve">Un gran compromiso ético de la humanidad es lograr que toda la población se desarrolle en condiciones de equidad, esto en parte por los alarmantes niveles de pobreza, hambre, marginación, epidemias y desigualdad. </w:t>
      </w:r>
    </w:p>
    <w:p w14:paraId="2E9A316C"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La ONU ha creado el Índice de Desarrollo Humano (IDH) para evaluar ciertos tipos de desarrollo humano en los países. Parámetros del índice de desarrollo humano:</w:t>
      </w:r>
    </w:p>
    <w:p w14:paraId="6C66BA59"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1.</w:t>
      </w:r>
      <w:r w:rsidRPr="00395C86">
        <w:rPr>
          <w:rFonts w:ascii="Sansa-Normal" w:eastAsia="Times New Roman" w:hAnsi="Sansa-Normal" w:cstheme="minorHAnsi"/>
          <w:iCs/>
          <w:sz w:val="24"/>
          <w:szCs w:val="24"/>
        </w:rPr>
        <w:tab/>
        <w:t xml:space="preserve">Salud: medida según la esperanza de vida al nacer. </w:t>
      </w:r>
    </w:p>
    <w:p w14:paraId="3C07D86D"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2.</w:t>
      </w:r>
      <w:r w:rsidRPr="00395C86">
        <w:rPr>
          <w:rFonts w:ascii="Sansa-Normal" w:eastAsia="Times New Roman" w:hAnsi="Sansa-Normal" w:cstheme="minorHAnsi"/>
          <w:iCs/>
          <w:sz w:val="24"/>
          <w:szCs w:val="24"/>
        </w:rPr>
        <w:tab/>
        <w:t xml:space="preserve">Educación: medida por la tasa de alfabetización de adultos y la tasa bruta combinada de matriculación en educación primaria, secundaria y superior, así como los años de duración de la educación obligatoria.  </w:t>
      </w:r>
    </w:p>
    <w:p w14:paraId="14069D40"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3.</w:t>
      </w:r>
      <w:r w:rsidRPr="00395C86">
        <w:rPr>
          <w:rFonts w:ascii="Sansa-Normal" w:eastAsia="Times New Roman" w:hAnsi="Sansa-Normal" w:cstheme="minorHAnsi"/>
          <w:iCs/>
          <w:sz w:val="24"/>
          <w:szCs w:val="24"/>
        </w:rPr>
        <w:tab/>
        <w:t>Riqueza: medida por el PIB PER CÁPITA PPA en dólares internacionales. Además de estos tres se han creado muchos más que miden cosas más específicas.</w:t>
      </w:r>
    </w:p>
    <w:p w14:paraId="5CCB56F2" w14:textId="77777777" w:rsidR="00395C86" w:rsidRPr="00395C86" w:rsidRDefault="00395C86" w:rsidP="00395C86">
      <w:pPr>
        <w:jc w:val="both"/>
        <w:rPr>
          <w:rFonts w:ascii="Sansa-Normal" w:eastAsia="Times New Roman" w:hAnsi="Sansa-Normal" w:cstheme="minorHAnsi"/>
          <w:iCs/>
          <w:sz w:val="24"/>
          <w:szCs w:val="24"/>
        </w:rPr>
      </w:pPr>
    </w:p>
    <w:p w14:paraId="6DE36535" w14:textId="577B51BA"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Experiencias culturales que fortalecen una convivencia armónica con el medio. Diseño de estrategias de educación ambiental para la sustentabilidad. Para que el ser humano pueda convivir de manera pacífica con el ambiente es necesario que cada uno de nosotros se sienta parte del ambiente y establezca una escala de valores que le permita cuidar el equilibrio ambiental, así como proponer y exigir soluciones integrales a los problemas detectados. </w:t>
      </w:r>
    </w:p>
    <w:p w14:paraId="1247AC7F" w14:textId="30FB23A3"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Los pueblos indígenas ya forman parte de esto. Muchos de estos pueblos cultivan, viven, construyen en el ambiente, pero sin dañarlo de forma significativa. Ellos extraen lo necesario del ambiente sin dañarlo y le dan tiempo para que se reponga y poder seguir trabajando en él. Un ejemplo de esto es el consumo de productos orgánicos, los cuales no usan pesticidas y nos permiten comer mejor y no dañamos tanto a la tierra. El desarrollo sustentable busca mejorar la calidad de vida y la productividad de las personas y al mismo tiempo cuida el equilibrio ecológico y aprovecha los recursos naturales para garantizar que las generaciones futuras puedan satisfacer sus necesidades. El desarrollo surgió como una idea para que el ser humano pueda vivir sano y en buenas condiciones, además de ayudar a resolver problemas que causamos como: el calentamiento global del planeta, pobreza, inequidad social, deforestación y escasez de agua. </w:t>
      </w:r>
    </w:p>
    <w:p w14:paraId="421A05F1" w14:textId="2D93009A"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La Carta de la Tierra de la ONU promueve la creación de una declaración de principios éticos y acciones para salvar al planeta. Se pretende convertir la carta de la tierra en una ética global. </w:t>
      </w:r>
    </w:p>
    <w:p w14:paraId="7B62CD8E"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Aplicación de las 4R´s:</w:t>
      </w:r>
    </w:p>
    <w:p w14:paraId="1874CD14"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1.</w:t>
      </w:r>
      <w:r w:rsidRPr="00395C86">
        <w:rPr>
          <w:rFonts w:ascii="Sansa-Normal" w:eastAsia="Times New Roman" w:hAnsi="Sansa-Normal" w:cstheme="minorHAnsi"/>
          <w:iCs/>
          <w:sz w:val="24"/>
          <w:szCs w:val="24"/>
        </w:rPr>
        <w:tab/>
        <w:t>Repensar el consumo y las formas de producción.</w:t>
      </w:r>
    </w:p>
    <w:p w14:paraId="53EC41EB"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2.</w:t>
      </w:r>
      <w:r w:rsidRPr="00395C86">
        <w:rPr>
          <w:rFonts w:ascii="Sansa-Normal" w:eastAsia="Times New Roman" w:hAnsi="Sansa-Normal" w:cstheme="minorHAnsi"/>
          <w:iCs/>
          <w:sz w:val="24"/>
          <w:szCs w:val="24"/>
        </w:rPr>
        <w:tab/>
        <w:t xml:space="preserve">Reducir los desechos, los costos y los desperdicios. </w:t>
      </w:r>
    </w:p>
    <w:p w14:paraId="29A9C36B" w14:textId="77777777"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3.</w:t>
      </w:r>
      <w:r w:rsidRPr="00395C86">
        <w:rPr>
          <w:rFonts w:ascii="Sansa-Normal" w:eastAsia="Times New Roman" w:hAnsi="Sansa-Normal" w:cstheme="minorHAnsi"/>
          <w:iCs/>
          <w:sz w:val="24"/>
          <w:szCs w:val="24"/>
        </w:rPr>
        <w:tab/>
        <w:t>Reusar o fabricar objetos con materiales de desecho.</w:t>
      </w:r>
    </w:p>
    <w:p w14:paraId="70BA9AB0" w14:textId="77777777" w:rsid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4.</w:t>
      </w:r>
      <w:r w:rsidRPr="00395C86">
        <w:rPr>
          <w:rFonts w:ascii="Sansa-Normal" w:eastAsia="Times New Roman" w:hAnsi="Sansa-Normal" w:cstheme="minorHAnsi"/>
          <w:iCs/>
          <w:sz w:val="24"/>
          <w:szCs w:val="24"/>
        </w:rPr>
        <w:tab/>
        <w:t xml:space="preserve">Reciclar o volver a introducir el material, como el papel o el cartón, en el proceso de producción. </w:t>
      </w:r>
    </w:p>
    <w:p w14:paraId="7B8AEC5B" w14:textId="77777777" w:rsidR="00395C86" w:rsidRDefault="00395C86" w:rsidP="00395C86">
      <w:pPr>
        <w:jc w:val="both"/>
        <w:rPr>
          <w:rFonts w:ascii="Sansa-Normal" w:eastAsia="Times New Roman" w:hAnsi="Sansa-Normal" w:cstheme="minorHAnsi"/>
          <w:iCs/>
          <w:sz w:val="24"/>
          <w:szCs w:val="24"/>
        </w:rPr>
      </w:pPr>
    </w:p>
    <w:p w14:paraId="1B9A6C27" w14:textId="77777777" w:rsidR="00395C86" w:rsidRDefault="00395C86" w:rsidP="00395C86">
      <w:pPr>
        <w:jc w:val="both"/>
        <w:rPr>
          <w:rFonts w:ascii="Sansa-Normal" w:eastAsia="Times New Roman" w:hAnsi="Sansa-Normal" w:cstheme="minorHAnsi"/>
          <w:iCs/>
          <w:sz w:val="24"/>
          <w:szCs w:val="24"/>
        </w:rPr>
      </w:pPr>
    </w:p>
    <w:p w14:paraId="0E33C8D9" w14:textId="77777777" w:rsidR="00395C86" w:rsidRPr="00395C86" w:rsidRDefault="00395C86" w:rsidP="00395C86">
      <w:pPr>
        <w:jc w:val="both"/>
        <w:rPr>
          <w:rFonts w:ascii="Sansa-Normal" w:eastAsia="Times New Roman" w:hAnsi="Sansa-Normal" w:cstheme="minorHAnsi"/>
          <w:iCs/>
          <w:sz w:val="24"/>
          <w:szCs w:val="24"/>
        </w:rPr>
      </w:pPr>
    </w:p>
    <w:p w14:paraId="41CD4255" w14:textId="77777777" w:rsidR="00395C86" w:rsidRPr="00395C86" w:rsidRDefault="00395C86" w:rsidP="00395C86">
      <w:pPr>
        <w:jc w:val="both"/>
        <w:rPr>
          <w:rFonts w:ascii="Sansa-Normal" w:eastAsia="Times New Roman" w:hAnsi="Sansa-Normal" w:cstheme="minorHAnsi"/>
          <w:iCs/>
          <w:sz w:val="24"/>
          <w:szCs w:val="24"/>
        </w:rPr>
      </w:pPr>
    </w:p>
    <w:p w14:paraId="2E815836" w14:textId="73ACD48B"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Con la Educación ambiental se promueve el conocimiento de los derechos humanos vinculados con el medio ambiente y con el desarrollo sustentable, se genera conciencia de que formamos parte del delicado equilibrio ecológico y se propicia la realización de acciones para la solución de problemas ambientales.</w:t>
      </w:r>
    </w:p>
    <w:p w14:paraId="34F516F9" w14:textId="4862BCAD" w:rsidR="00395C86" w:rsidRPr="00395C86" w:rsidRDefault="00395C86" w:rsidP="00395C86">
      <w:pPr>
        <w:jc w:val="both"/>
        <w:rPr>
          <w:rFonts w:ascii="Sansa-Normal" w:eastAsia="Times New Roman" w:hAnsi="Sansa-Normal" w:cstheme="minorHAnsi"/>
          <w:iCs/>
          <w:sz w:val="24"/>
          <w:szCs w:val="24"/>
        </w:rPr>
      </w:pPr>
      <w:r w:rsidRPr="00395C86">
        <w:rPr>
          <w:rFonts w:ascii="Sansa-Normal" w:eastAsia="Times New Roman" w:hAnsi="Sansa-Normal" w:cstheme="minorHAnsi"/>
          <w:iCs/>
          <w:sz w:val="24"/>
          <w:szCs w:val="24"/>
        </w:rPr>
        <w:t xml:space="preserve">Greenpeace: el objetivo es proteger y defender el medio ambiente, interviniendo en diferentes puntos del planeta cuando se cometen atentados contra la naturaleza. Greenpeace lleva a cabo campañas para detener el cambio climático, proteger la biodiversidad, para la no utilización de transgénicos, disminuir la contaminación, acabar con el uso de la energía nuclear y el de las armas. Además, proteger bosques y paisajes naturales. </w:t>
      </w:r>
    </w:p>
    <w:p w14:paraId="397F1EDB" w14:textId="77777777" w:rsidR="00395C86" w:rsidRPr="00395C86" w:rsidRDefault="00395C86" w:rsidP="00395C86">
      <w:pPr>
        <w:jc w:val="right"/>
        <w:rPr>
          <w:rFonts w:ascii="Sansa-Normal" w:eastAsia="Times New Roman" w:hAnsi="Sansa-Normal" w:cstheme="minorHAnsi"/>
          <w:iCs/>
          <w:sz w:val="16"/>
          <w:szCs w:val="16"/>
        </w:rPr>
      </w:pPr>
      <w:r w:rsidRPr="00395C86">
        <w:rPr>
          <w:rFonts w:ascii="Sansa-Normal" w:eastAsia="Times New Roman" w:hAnsi="Sansa-Normal" w:cstheme="minorHAnsi"/>
          <w:iCs/>
          <w:sz w:val="16"/>
          <w:szCs w:val="16"/>
        </w:rPr>
        <w:t>Referencia:</w:t>
      </w:r>
    </w:p>
    <w:p w14:paraId="5CCF8D93" w14:textId="77777777" w:rsidR="00395C86" w:rsidRPr="00395C86" w:rsidRDefault="00395C86" w:rsidP="00395C86">
      <w:pPr>
        <w:jc w:val="right"/>
        <w:rPr>
          <w:rFonts w:ascii="Sansa-Normal" w:eastAsia="Times New Roman" w:hAnsi="Sansa-Normal" w:cstheme="minorHAnsi"/>
          <w:iCs/>
          <w:sz w:val="16"/>
          <w:szCs w:val="16"/>
        </w:rPr>
      </w:pPr>
      <w:r w:rsidRPr="00395C86">
        <w:rPr>
          <w:rFonts w:ascii="Sansa-Normal" w:eastAsia="Times New Roman" w:hAnsi="Sansa-Normal" w:cstheme="minorHAnsi"/>
          <w:iCs/>
          <w:sz w:val="16"/>
          <w:szCs w:val="16"/>
        </w:rPr>
        <w:t>Licenciatura en Administración. Fundamentos de Administración. Universidad Nacional Autónoma de México. Facultad de Contaduría y Administración. Sistema Universidad Abierta y Educación a Distancia. SUAyED. Apunte electrónico.</w:t>
      </w:r>
    </w:p>
    <w:p w14:paraId="669CB138" w14:textId="64D3BBD4" w:rsidR="00052158" w:rsidRPr="00052158" w:rsidRDefault="00052158" w:rsidP="00052158">
      <w:pPr>
        <w:jc w:val="right"/>
        <w:rPr>
          <w:rFonts w:ascii="Sansa-Normal" w:eastAsia="Times New Roman" w:hAnsi="Sansa-Normal" w:cstheme="minorHAnsi"/>
          <w:iCs/>
          <w:sz w:val="18"/>
          <w:szCs w:val="18"/>
        </w:rPr>
      </w:pPr>
      <w:r w:rsidRPr="00052158">
        <w:rPr>
          <w:rFonts w:ascii="Sansa-Normal" w:eastAsia="Times New Roman" w:hAnsi="Sansa-Normal" w:cstheme="minorHAnsi"/>
          <w:iCs/>
          <w:sz w:val="18"/>
          <w:szCs w:val="18"/>
        </w:rPr>
        <w:t>.</w:t>
      </w:r>
    </w:p>
    <w:p w14:paraId="2447A9E8" w14:textId="77777777" w:rsidR="00052158" w:rsidRPr="00052158" w:rsidRDefault="00052158" w:rsidP="00052158">
      <w:pPr>
        <w:rPr>
          <w:rFonts w:ascii="Sansa-Normal" w:eastAsia="Times New Roman" w:hAnsi="Sansa-Normal" w:cstheme="minorHAnsi"/>
          <w:iCs/>
          <w:sz w:val="24"/>
          <w:szCs w:val="24"/>
        </w:rPr>
      </w:pPr>
    </w:p>
    <w:p w14:paraId="295686F7" w14:textId="77777777" w:rsidR="00AD4CD7" w:rsidRDefault="00AD4CD7" w:rsidP="00AD4CD7">
      <w:pPr>
        <w:rPr>
          <w:rFonts w:ascii="Sansa-Normal" w:eastAsia="Times New Roman" w:hAnsi="Sansa-Normal" w:cstheme="minorHAnsi"/>
          <w:iCs/>
          <w:sz w:val="24"/>
          <w:szCs w:val="24"/>
        </w:rPr>
      </w:pPr>
    </w:p>
    <w:p w14:paraId="77846ABF" w14:textId="77777777" w:rsidR="00AD4CD7" w:rsidRDefault="00AD4CD7" w:rsidP="00AD4CD7">
      <w:pPr>
        <w:rPr>
          <w:rFonts w:ascii="Sansa-Normal" w:eastAsia="Times New Roman" w:hAnsi="Sansa-Normal" w:cstheme="minorHAnsi"/>
          <w:iCs/>
          <w:sz w:val="24"/>
          <w:szCs w:val="24"/>
        </w:rPr>
      </w:pPr>
      <w:bookmarkStart w:id="0" w:name="_GoBack"/>
      <w:bookmarkEnd w:id="0"/>
    </w:p>
    <w:p w14:paraId="2E002A5B" w14:textId="77777777" w:rsidR="00AD4CD7" w:rsidRDefault="00AD4CD7" w:rsidP="00AD4CD7">
      <w:pPr>
        <w:rPr>
          <w:rFonts w:ascii="Sansa-Normal" w:eastAsia="Times New Roman" w:hAnsi="Sansa-Normal" w:cstheme="minorHAnsi"/>
          <w:iCs/>
          <w:sz w:val="24"/>
          <w:szCs w:val="24"/>
        </w:rPr>
      </w:pPr>
    </w:p>
    <w:p w14:paraId="5765C065" w14:textId="77777777" w:rsidR="00AD4CD7" w:rsidRPr="00AD4CD7" w:rsidRDefault="00AD4CD7" w:rsidP="00AD4CD7">
      <w:pPr>
        <w:rPr>
          <w:rFonts w:ascii="Sansa-Normal" w:eastAsia="Times New Roman" w:hAnsi="Sansa-Normal" w:cstheme="minorHAnsi"/>
          <w:iCs/>
          <w:sz w:val="24"/>
          <w:szCs w:val="24"/>
        </w:rPr>
      </w:pPr>
    </w:p>
    <w:sectPr w:rsidR="00AD4CD7" w:rsidRPr="00AD4CD7" w:rsidSect="009E1D3D">
      <w:headerReference w:type="default" r:id="rId10"/>
      <w:footerReference w:type="default" r:id="rId11"/>
      <w:pgSz w:w="12460" w:h="1552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D71CD" w:rsidRDefault="002D71CD" w:rsidP="000C56E4">
      <w:r>
        <w:separator/>
      </w:r>
    </w:p>
  </w:endnote>
  <w:endnote w:type="continuationSeparator" w:id="0">
    <w:p w14:paraId="03EE6BA2" w14:textId="77777777" w:rsidR="002D71CD" w:rsidRDefault="002D71C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D71CD" w:rsidRDefault="002D71C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D71CD" w:rsidRDefault="002D71C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D71CD" w:rsidRDefault="002D71CD" w:rsidP="000C56E4">
      <w:r>
        <w:separator/>
      </w:r>
    </w:p>
  </w:footnote>
  <w:footnote w:type="continuationSeparator" w:id="0">
    <w:p w14:paraId="143CF59E" w14:textId="77777777" w:rsidR="002D71CD" w:rsidRDefault="002D71C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D71CD" w:rsidRDefault="002D71C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0D68A265" w:rsidR="002D71CD" w:rsidRDefault="00395C86"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Necesidades del Entorno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0D68A265" w:rsidR="002D71CD" w:rsidRDefault="00395C86"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Necesidades del Entorno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467A4"/>
    <w:rsid w:val="00052158"/>
    <w:rsid w:val="0006642A"/>
    <w:rsid w:val="000C56E4"/>
    <w:rsid w:val="000E3AF1"/>
    <w:rsid w:val="00114A5D"/>
    <w:rsid w:val="001408BB"/>
    <w:rsid w:val="00170F38"/>
    <w:rsid w:val="00175BD2"/>
    <w:rsid w:val="0018094E"/>
    <w:rsid w:val="001D418B"/>
    <w:rsid w:val="00214F9E"/>
    <w:rsid w:val="002452F5"/>
    <w:rsid w:val="00264981"/>
    <w:rsid w:val="002C5D7E"/>
    <w:rsid w:val="002D71CD"/>
    <w:rsid w:val="002E34DD"/>
    <w:rsid w:val="002E3CFD"/>
    <w:rsid w:val="002F433B"/>
    <w:rsid w:val="00305F1F"/>
    <w:rsid w:val="003064B8"/>
    <w:rsid w:val="00343EB9"/>
    <w:rsid w:val="0039235F"/>
    <w:rsid w:val="00395C86"/>
    <w:rsid w:val="003C10FB"/>
    <w:rsid w:val="003D431C"/>
    <w:rsid w:val="003D510C"/>
    <w:rsid w:val="003E53E7"/>
    <w:rsid w:val="00416ABB"/>
    <w:rsid w:val="00475446"/>
    <w:rsid w:val="004918B3"/>
    <w:rsid w:val="004F555F"/>
    <w:rsid w:val="0052056B"/>
    <w:rsid w:val="005639CC"/>
    <w:rsid w:val="005A1539"/>
    <w:rsid w:val="005C5E09"/>
    <w:rsid w:val="005C770C"/>
    <w:rsid w:val="005D53CF"/>
    <w:rsid w:val="005F42A2"/>
    <w:rsid w:val="00617C2D"/>
    <w:rsid w:val="00625AF7"/>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E1D3D"/>
    <w:rsid w:val="009F1157"/>
    <w:rsid w:val="00A73CB4"/>
    <w:rsid w:val="00AC1CD5"/>
    <w:rsid w:val="00AD4CD7"/>
    <w:rsid w:val="00AE2191"/>
    <w:rsid w:val="00AF22D2"/>
    <w:rsid w:val="00AF4C80"/>
    <w:rsid w:val="00B33BD3"/>
    <w:rsid w:val="00B416C4"/>
    <w:rsid w:val="00B46003"/>
    <w:rsid w:val="00B751BB"/>
    <w:rsid w:val="00BB7525"/>
    <w:rsid w:val="00BD2484"/>
    <w:rsid w:val="00BF2A7F"/>
    <w:rsid w:val="00C03339"/>
    <w:rsid w:val="00C224DF"/>
    <w:rsid w:val="00C36C08"/>
    <w:rsid w:val="00C5401B"/>
    <w:rsid w:val="00C55B85"/>
    <w:rsid w:val="00C6224F"/>
    <w:rsid w:val="00C8224D"/>
    <w:rsid w:val="00C86F22"/>
    <w:rsid w:val="00CA200B"/>
    <w:rsid w:val="00CC6A64"/>
    <w:rsid w:val="00CE04E5"/>
    <w:rsid w:val="00CF39A8"/>
    <w:rsid w:val="00D10843"/>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ED5C5A"/>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emarnat.gob.mx/Pages/Inicio.aspx"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5DCE-6B7F-AF40-B884-0982BE6B7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9675</Characters>
  <Application>Microsoft Macintosh Word</Application>
  <DocSecurity>0</DocSecurity>
  <Lines>80</Lines>
  <Paragraphs>22</Paragraphs>
  <ScaleCrop>false</ScaleCrop>
  <Company/>
  <LinksUpToDate>false</LinksUpToDate>
  <CharactersWithSpaces>11411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2018-05-30T08:00:00Z</cp:lastPrinted>
  <dcterms:created xsi:type="dcterms:W3CDTF">2018-05-30T08:00:00Z</dcterms:created>
  <dcterms:modified xsi:type="dcterms:W3CDTF">2018-05-30T08:00:00Z</dcterms:modified>
</cp:coreProperties>
</file>